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3018" w:rsidRPr="00E20D05" w:rsidRDefault="00C514F3" w:rsidP="00783018">
      <w:pPr>
        <w:jc w:val="center"/>
        <w:rPr>
          <w:rFonts w:ascii="Arial" w:hAnsi="Arial" w:cs="Arial"/>
          <w:sz w:val="24"/>
          <w:szCs w:val="24"/>
        </w:rPr>
      </w:pPr>
      <w:r w:rsidRPr="00E20D05">
        <w:rPr>
          <w:rFonts w:ascii="Arial" w:hAnsi="Arial" w:cs="Arial"/>
          <w:noProof/>
          <w:sz w:val="24"/>
          <w:szCs w:val="24"/>
        </w:rPr>
        <w:drawing>
          <wp:inline distT="0" distB="0" distL="0" distR="0">
            <wp:extent cx="1057275" cy="1066800"/>
            <wp:effectExtent l="19050" t="0" r="9525" b="0"/>
            <wp:docPr id="2" name="Imagem 1" descr="C:\Documents and Settings\92355978115\Desktop\al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Documents and Settings\92355978115\Desktop\allogo.jpg"/>
                    <pic:cNvPicPr>
                      <a:picLocks noChangeAspect="1" noChangeArrowheads="1"/>
                    </pic:cNvPicPr>
                  </pic:nvPicPr>
                  <pic:blipFill>
                    <a:blip r:embed="rId5" cstate="print"/>
                    <a:srcRect/>
                    <a:stretch>
                      <a:fillRect/>
                    </a:stretch>
                  </pic:blipFill>
                  <pic:spPr bwMode="auto">
                    <a:xfrm>
                      <a:off x="0" y="0"/>
                      <a:ext cx="1057275" cy="1066800"/>
                    </a:xfrm>
                    <a:prstGeom prst="rect">
                      <a:avLst/>
                    </a:prstGeom>
                    <a:noFill/>
                    <a:ln w="9525">
                      <a:noFill/>
                      <a:miter lim="800000"/>
                      <a:headEnd/>
                      <a:tailEnd/>
                    </a:ln>
                  </pic:spPr>
                </pic:pic>
              </a:graphicData>
            </a:graphic>
          </wp:inline>
        </w:drawing>
      </w:r>
    </w:p>
    <w:p w:rsidR="005E3BA5" w:rsidRPr="00503D7F" w:rsidRDefault="00117B96" w:rsidP="00503D7F">
      <w:pPr>
        <w:pStyle w:val="SemEspaamento"/>
        <w:jc w:val="center"/>
        <w:rPr>
          <w:rFonts w:ascii="Arial Narrow" w:hAnsi="Arial Narrow"/>
          <w:b/>
        </w:rPr>
      </w:pPr>
      <w:r w:rsidRPr="00503D7F">
        <w:rPr>
          <w:rFonts w:ascii="Arial Narrow" w:hAnsi="Arial Narrow"/>
          <w:b/>
        </w:rPr>
        <w:t>COMISSÃO PERMANENTE DE LICITAÇÃO</w:t>
      </w:r>
    </w:p>
    <w:p w:rsidR="0045337A" w:rsidRDefault="00503D7F" w:rsidP="00503D7F">
      <w:pPr>
        <w:pStyle w:val="SemEspaamento"/>
        <w:jc w:val="center"/>
        <w:rPr>
          <w:rFonts w:ascii="Arial Narrow" w:hAnsi="Arial Narrow"/>
          <w:b/>
        </w:rPr>
      </w:pPr>
      <w:r>
        <w:rPr>
          <w:rFonts w:ascii="Arial Narrow" w:hAnsi="Arial Narrow"/>
          <w:b/>
        </w:rPr>
        <w:t>RESPOSTA À IMPUGNAÇÃO DO EDITAL</w:t>
      </w:r>
    </w:p>
    <w:p w:rsidR="00503D7F" w:rsidRDefault="00503D7F" w:rsidP="00503D7F">
      <w:pPr>
        <w:pStyle w:val="SemEspaamento"/>
        <w:jc w:val="both"/>
        <w:rPr>
          <w:rFonts w:ascii="Arial Narrow" w:hAnsi="Arial Narrow"/>
          <w:b/>
        </w:rPr>
      </w:pPr>
    </w:p>
    <w:p w:rsidR="00503D7F" w:rsidRDefault="00503D7F" w:rsidP="00503D7F">
      <w:pPr>
        <w:pStyle w:val="SemEspaamento"/>
        <w:jc w:val="both"/>
        <w:rPr>
          <w:rFonts w:ascii="Arial Narrow" w:hAnsi="Arial Narrow"/>
          <w:b/>
        </w:rPr>
      </w:pPr>
      <w:r>
        <w:rPr>
          <w:rFonts w:ascii="Arial Narrow" w:hAnsi="Arial Narrow"/>
          <w:b/>
        </w:rPr>
        <w:t>PREGÃO PRESENCIAL Nº 002/2019</w:t>
      </w:r>
    </w:p>
    <w:p w:rsidR="00503D7F" w:rsidRDefault="00503D7F" w:rsidP="00503D7F">
      <w:pPr>
        <w:pStyle w:val="SemEspaamento"/>
        <w:jc w:val="both"/>
        <w:rPr>
          <w:rFonts w:ascii="Arial Narrow" w:hAnsi="Arial Narrow"/>
          <w:b/>
        </w:rPr>
      </w:pPr>
      <w:r>
        <w:rPr>
          <w:rFonts w:ascii="Arial Narrow" w:hAnsi="Arial Narrow"/>
          <w:b/>
        </w:rPr>
        <w:t>PROCESSO: 0076/2019</w:t>
      </w:r>
    </w:p>
    <w:p w:rsidR="00503D7F" w:rsidRDefault="00503D7F" w:rsidP="00503D7F">
      <w:pPr>
        <w:pStyle w:val="SemEspaamento"/>
        <w:jc w:val="both"/>
        <w:rPr>
          <w:rFonts w:ascii="Arial Narrow" w:hAnsi="Arial Narrow"/>
          <w:b/>
        </w:rPr>
      </w:pPr>
    </w:p>
    <w:p w:rsidR="00503D7F" w:rsidRDefault="00503D7F" w:rsidP="00503D7F">
      <w:pPr>
        <w:pStyle w:val="SemEspaamento"/>
        <w:ind w:right="3828"/>
        <w:jc w:val="both"/>
        <w:rPr>
          <w:rFonts w:ascii="Arial Narrow" w:hAnsi="Arial Narrow"/>
        </w:rPr>
      </w:pPr>
      <w:r>
        <w:rPr>
          <w:rFonts w:ascii="Arial Narrow" w:hAnsi="Arial Narrow"/>
          <w:b/>
        </w:rPr>
        <w:t xml:space="preserve">Objeto:  </w:t>
      </w:r>
      <w:r w:rsidRPr="00503D7F">
        <w:rPr>
          <w:rFonts w:ascii="Arial Narrow" w:eastAsia="Times New Roman" w:hAnsi="Arial Narrow" w:cs="Times New Roman"/>
        </w:rPr>
        <w:t>Registro de Preços para futura contratação de empresa especializada na prestação de serviços de locação de veículo automotor zero quilômetro, sem motorista, com quilometragem livre, seguro total, visando atender esta casa de Leis – Assembleia Legislativa do Estado do Tocantins</w:t>
      </w:r>
    </w:p>
    <w:p w:rsidR="00503D7F" w:rsidRPr="00503D7F" w:rsidRDefault="00503D7F" w:rsidP="00503D7F">
      <w:pPr>
        <w:pStyle w:val="SemEspaamento"/>
      </w:pPr>
    </w:p>
    <w:p w:rsidR="00503D7F" w:rsidRPr="00503D7F" w:rsidRDefault="00503D7F" w:rsidP="00503D7F">
      <w:pPr>
        <w:pStyle w:val="SemEspaamento"/>
      </w:pPr>
    </w:p>
    <w:p w:rsidR="00503D7F" w:rsidRDefault="00503D7F" w:rsidP="00503D7F">
      <w:pPr>
        <w:pStyle w:val="SemEspaamento"/>
        <w:jc w:val="both"/>
        <w:rPr>
          <w:rFonts w:ascii="Arial Narrow" w:hAnsi="Arial Narrow"/>
          <w:b/>
        </w:rPr>
      </w:pPr>
      <w:r w:rsidRPr="00503D7F">
        <w:rPr>
          <w:rFonts w:ascii="Arial Narrow" w:hAnsi="Arial Narrow"/>
          <w:b/>
        </w:rPr>
        <w:t>I – DAS PRELIMINARES</w:t>
      </w:r>
    </w:p>
    <w:p w:rsidR="00503D7F" w:rsidRDefault="00503D7F" w:rsidP="00503D7F">
      <w:pPr>
        <w:pStyle w:val="SemEspaamento"/>
        <w:jc w:val="both"/>
        <w:rPr>
          <w:rFonts w:ascii="Arial Narrow" w:hAnsi="Arial Narrow"/>
          <w:b/>
        </w:rPr>
      </w:pPr>
    </w:p>
    <w:p w:rsidR="00503D7F" w:rsidRDefault="00503D7F" w:rsidP="00503D7F">
      <w:pPr>
        <w:pStyle w:val="SemEspaamento"/>
        <w:jc w:val="both"/>
        <w:rPr>
          <w:rFonts w:ascii="Arial Narrow" w:hAnsi="Arial Narrow"/>
        </w:rPr>
      </w:pPr>
      <w:r>
        <w:rPr>
          <w:rFonts w:ascii="Arial Narrow" w:hAnsi="Arial Narrow"/>
        </w:rPr>
        <w:t xml:space="preserve">A empresa </w:t>
      </w:r>
      <w:r w:rsidR="003B4A20">
        <w:rPr>
          <w:rFonts w:ascii="Arial Narrow" w:hAnsi="Arial Narrow"/>
        </w:rPr>
        <w:t>RONDAVE LTDA</w:t>
      </w:r>
      <w:r>
        <w:rPr>
          <w:rFonts w:ascii="Arial Narrow" w:hAnsi="Arial Narrow"/>
        </w:rPr>
        <w:t xml:space="preserve">, pessoa jurídica de direito privado, inscrita no CNPJ sob nº </w:t>
      </w:r>
      <w:r w:rsidR="003B4A20">
        <w:rPr>
          <w:rFonts w:ascii="Arial Narrow" w:hAnsi="Arial Narrow"/>
        </w:rPr>
        <w:t>25.480.914/0001-28</w:t>
      </w:r>
      <w:r>
        <w:rPr>
          <w:rFonts w:ascii="Arial Narrow" w:hAnsi="Arial Narrow"/>
        </w:rPr>
        <w:t xml:space="preserve">, sediada na </w:t>
      </w:r>
      <w:r w:rsidR="003B4A20">
        <w:rPr>
          <w:rFonts w:ascii="Arial Narrow" w:hAnsi="Arial Narrow"/>
        </w:rPr>
        <w:t>Av. Américo Vespúcio nº 777, Vila Aparecida – Belo Horizonte - MG</w:t>
      </w:r>
      <w:r w:rsidR="00181311">
        <w:rPr>
          <w:rFonts w:ascii="Arial Narrow" w:hAnsi="Arial Narrow"/>
        </w:rPr>
        <w:t xml:space="preserve"> </w:t>
      </w:r>
      <w:r w:rsidR="003B4A20">
        <w:rPr>
          <w:rFonts w:ascii="Arial Narrow" w:hAnsi="Arial Narrow"/>
        </w:rPr>
        <w:t>protocolou</w:t>
      </w:r>
      <w:r w:rsidR="00181311">
        <w:rPr>
          <w:rFonts w:ascii="Arial Narrow" w:hAnsi="Arial Narrow"/>
        </w:rPr>
        <w:t xml:space="preserve"> </w:t>
      </w:r>
      <w:r w:rsidR="003B4A20">
        <w:rPr>
          <w:rFonts w:ascii="Arial Narrow" w:hAnsi="Arial Narrow"/>
        </w:rPr>
        <w:t>no Protocolo Geral desta Casa de Leis em 1</w:t>
      </w:r>
      <w:r w:rsidR="003B4A20">
        <w:rPr>
          <w:rFonts w:ascii="Arial Narrow" w:hAnsi="Arial Narrow"/>
        </w:rPr>
        <w:t>0</w:t>
      </w:r>
      <w:r w:rsidR="003B4A20">
        <w:rPr>
          <w:rFonts w:ascii="Arial Narrow" w:hAnsi="Arial Narrow"/>
        </w:rPr>
        <w:t>/04/2019 às 1</w:t>
      </w:r>
      <w:r w:rsidR="003B4A20">
        <w:rPr>
          <w:rFonts w:ascii="Arial Narrow" w:hAnsi="Arial Narrow"/>
        </w:rPr>
        <w:t>6</w:t>
      </w:r>
      <w:r w:rsidR="003B4A20">
        <w:rPr>
          <w:rFonts w:ascii="Arial Narrow" w:hAnsi="Arial Narrow"/>
        </w:rPr>
        <w:t>h</w:t>
      </w:r>
      <w:r w:rsidR="003B4A20">
        <w:rPr>
          <w:rFonts w:ascii="Arial Narrow" w:hAnsi="Arial Narrow"/>
        </w:rPr>
        <w:t>48</w:t>
      </w:r>
      <w:r w:rsidR="003B4A20">
        <w:rPr>
          <w:rFonts w:ascii="Arial Narrow" w:hAnsi="Arial Narrow"/>
        </w:rPr>
        <w:t>min</w:t>
      </w:r>
      <w:r w:rsidR="003B4A20">
        <w:rPr>
          <w:rFonts w:ascii="Arial Narrow" w:hAnsi="Arial Narrow"/>
        </w:rPr>
        <w:t xml:space="preserve"> </w:t>
      </w:r>
      <w:r w:rsidR="00181311">
        <w:rPr>
          <w:rFonts w:ascii="Arial Narrow" w:hAnsi="Arial Narrow"/>
        </w:rPr>
        <w:t>impugnação ao Edital do Pregão Presencial nº 002/2019.</w:t>
      </w:r>
    </w:p>
    <w:p w:rsidR="00181311" w:rsidRDefault="00181311" w:rsidP="00503D7F">
      <w:pPr>
        <w:pStyle w:val="SemEspaamento"/>
        <w:jc w:val="both"/>
        <w:rPr>
          <w:rFonts w:ascii="Arial Narrow" w:hAnsi="Arial Narrow"/>
        </w:rPr>
      </w:pPr>
    </w:p>
    <w:p w:rsidR="00AC6A3D" w:rsidRDefault="00AC6A3D" w:rsidP="00503D7F">
      <w:pPr>
        <w:pStyle w:val="SemEspaamento"/>
        <w:jc w:val="both"/>
        <w:rPr>
          <w:rFonts w:ascii="Arial Narrow" w:hAnsi="Arial Narrow"/>
          <w:b/>
        </w:rPr>
      </w:pPr>
      <w:r>
        <w:rPr>
          <w:rFonts w:ascii="Arial Narrow" w:hAnsi="Arial Narrow"/>
          <w:b/>
        </w:rPr>
        <w:t>I</w:t>
      </w:r>
      <w:r w:rsidR="003B4A20">
        <w:rPr>
          <w:rFonts w:ascii="Arial Narrow" w:hAnsi="Arial Narrow"/>
          <w:b/>
        </w:rPr>
        <w:t>I</w:t>
      </w:r>
      <w:r>
        <w:rPr>
          <w:rFonts w:ascii="Arial Narrow" w:hAnsi="Arial Narrow"/>
          <w:b/>
        </w:rPr>
        <w:t>- DA ANÁLISE</w:t>
      </w:r>
    </w:p>
    <w:p w:rsidR="000D1305" w:rsidRDefault="000D1305" w:rsidP="00503D7F">
      <w:pPr>
        <w:pStyle w:val="SemEspaamento"/>
        <w:jc w:val="both"/>
        <w:rPr>
          <w:rFonts w:ascii="Arial Narrow" w:hAnsi="Arial Narrow"/>
        </w:rPr>
      </w:pPr>
      <w:r>
        <w:rPr>
          <w:rFonts w:ascii="Arial Narrow" w:hAnsi="Arial Narrow"/>
        </w:rPr>
        <w:t xml:space="preserve">Prevê o instrumento convocatório que: </w:t>
      </w:r>
    </w:p>
    <w:p w:rsidR="000D1305" w:rsidRPr="000D1305" w:rsidRDefault="000D1305" w:rsidP="000D1305">
      <w:pPr>
        <w:pStyle w:val="SemEspaamento"/>
        <w:ind w:left="4111"/>
        <w:jc w:val="both"/>
        <w:rPr>
          <w:rFonts w:ascii="Arial Narrow" w:hAnsi="Arial Narrow"/>
          <w:sz w:val="18"/>
          <w:szCs w:val="18"/>
        </w:rPr>
      </w:pPr>
      <w:r w:rsidRPr="000D1305">
        <w:rPr>
          <w:rFonts w:ascii="Arial Narrow" w:hAnsi="Arial Narrow"/>
          <w:sz w:val="18"/>
          <w:szCs w:val="18"/>
        </w:rPr>
        <w:t xml:space="preserve">3.1. Decairá do direito de pedir esclarecimentos ou impugnar os termos deste Edital aquele que não o fizer até 02 (dois) dias úteis antes da data designada para a abertura dos envelopes, apontando de forma clara e objetiva as falhas ou irregularidades que entende viciarem o mesmo. As petições deverão ser protocoladas, devidamente instruídas (assinatura, endereço, razão social e telefone para contato), junto ao serviço de Protocolo ou na Comissão Permanente de Licitação desta Casa de Leis, que tem o prazo de 24 (vinte e quatro) HORAS ÚTEIS para respondê-las. </w:t>
      </w:r>
    </w:p>
    <w:p w:rsidR="000D1305" w:rsidRPr="000D1305" w:rsidRDefault="000D1305" w:rsidP="000D1305">
      <w:pPr>
        <w:pStyle w:val="SemEspaamento"/>
        <w:ind w:left="4111"/>
        <w:jc w:val="both"/>
        <w:rPr>
          <w:rFonts w:ascii="Arial Narrow" w:hAnsi="Arial Narrow"/>
          <w:sz w:val="18"/>
          <w:szCs w:val="18"/>
        </w:rPr>
      </w:pPr>
      <w:r w:rsidRPr="000D1305">
        <w:rPr>
          <w:rFonts w:ascii="Arial Narrow" w:hAnsi="Arial Narrow"/>
          <w:sz w:val="18"/>
          <w:szCs w:val="18"/>
        </w:rPr>
        <w:t xml:space="preserve"> </w:t>
      </w:r>
      <w:bookmarkStart w:id="0" w:name="_GoBack"/>
      <w:bookmarkEnd w:id="0"/>
    </w:p>
    <w:p w:rsidR="000D1305" w:rsidRDefault="000D1305" w:rsidP="000D1305">
      <w:pPr>
        <w:pStyle w:val="SemEspaamento"/>
        <w:ind w:left="4111"/>
        <w:jc w:val="both"/>
        <w:rPr>
          <w:rFonts w:ascii="Arial Narrow" w:hAnsi="Arial Narrow"/>
          <w:sz w:val="18"/>
          <w:szCs w:val="18"/>
        </w:rPr>
      </w:pPr>
      <w:r w:rsidRPr="000D1305">
        <w:rPr>
          <w:rFonts w:ascii="Arial Narrow" w:hAnsi="Arial Narrow"/>
          <w:sz w:val="18"/>
          <w:szCs w:val="18"/>
        </w:rPr>
        <w:t xml:space="preserve">3.1.1. </w:t>
      </w:r>
      <w:r w:rsidRPr="000D1305">
        <w:rPr>
          <w:rFonts w:ascii="Arial Narrow" w:hAnsi="Arial Narrow"/>
          <w:b/>
          <w:sz w:val="18"/>
          <w:szCs w:val="18"/>
        </w:rPr>
        <w:t>Não serão reconhecidas impugnações do Edital por fax ou e-mail</w:t>
      </w:r>
      <w:r w:rsidRPr="000D1305">
        <w:rPr>
          <w:rFonts w:ascii="Arial Narrow" w:hAnsi="Arial Narrow"/>
          <w:sz w:val="18"/>
          <w:szCs w:val="18"/>
        </w:rPr>
        <w:t xml:space="preserve">, </w:t>
      </w:r>
      <w:r w:rsidRPr="000D1305">
        <w:rPr>
          <w:rFonts w:ascii="Arial Narrow" w:hAnsi="Arial Narrow"/>
          <w:b/>
          <w:sz w:val="18"/>
          <w:szCs w:val="18"/>
        </w:rPr>
        <w:t>somente por escrito, em original,</w:t>
      </w:r>
      <w:r w:rsidRPr="000D1305">
        <w:rPr>
          <w:rFonts w:ascii="Arial Narrow" w:hAnsi="Arial Narrow"/>
          <w:sz w:val="18"/>
          <w:szCs w:val="18"/>
        </w:rPr>
        <w:t xml:space="preserve"> protocolada no Protocolo da Assembleia Legislativa do Estado do Tocantins ou na Comissão Permanente de Licitação, e dentro dos respectivos prazos legais.</w:t>
      </w:r>
      <w:r w:rsidRPr="000D1305">
        <w:rPr>
          <w:rFonts w:ascii="Arial Narrow" w:hAnsi="Arial Narrow"/>
          <w:sz w:val="18"/>
          <w:szCs w:val="18"/>
        </w:rPr>
        <w:t xml:space="preserve"> </w:t>
      </w:r>
      <w:r>
        <w:rPr>
          <w:rFonts w:ascii="Arial Narrow" w:hAnsi="Arial Narrow"/>
          <w:sz w:val="18"/>
          <w:szCs w:val="18"/>
        </w:rPr>
        <w:t>(</w:t>
      </w:r>
      <w:proofErr w:type="gramStart"/>
      <w:r>
        <w:rPr>
          <w:rFonts w:ascii="Arial Narrow" w:hAnsi="Arial Narrow"/>
          <w:sz w:val="18"/>
          <w:szCs w:val="18"/>
        </w:rPr>
        <w:t>grifo</w:t>
      </w:r>
      <w:proofErr w:type="gramEnd"/>
      <w:r>
        <w:rPr>
          <w:rFonts w:ascii="Arial Narrow" w:hAnsi="Arial Narrow"/>
          <w:sz w:val="18"/>
          <w:szCs w:val="18"/>
        </w:rPr>
        <w:t xml:space="preserve"> nosso)</w:t>
      </w:r>
    </w:p>
    <w:p w:rsidR="000D1305" w:rsidRPr="000D1305" w:rsidRDefault="000D1305" w:rsidP="000D1305">
      <w:pPr>
        <w:pStyle w:val="SemEspaamento"/>
        <w:ind w:left="4111"/>
        <w:jc w:val="both"/>
        <w:rPr>
          <w:rFonts w:ascii="Arial Narrow" w:hAnsi="Arial Narrow"/>
          <w:sz w:val="18"/>
          <w:szCs w:val="18"/>
        </w:rPr>
      </w:pPr>
    </w:p>
    <w:p w:rsidR="0001743A" w:rsidRPr="003B4A20" w:rsidRDefault="003B4A20" w:rsidP="00503D7F">
      <w:pPr>
        <w:pStyle w:val="SemEspaamento"/>
        <w:jc w:val="both"/>
        <w:rPr>
          <w:rFonts w:ascii="Arial Narrow" w:hAnsi="Arial Narrow"/>
        </w:rPr>
      </w:pPr>
      <w:r w:rsidRPr="003B4A20">
        <w:rPr>
          <w:rFonts w:ascii="Arial Narrow" w:hAnsi="Arial Narrow"/>
        </w:rPr>
        <w:t>Entregue</w:t>
      </w:r>
      <w:r>
        <w:rPr>
          <w:rFonts w:ascii="Arial Narrow" w:hAnsi="Arial Narrow"/>
        </w:rPr>
        <w:t xml:space="preserve"> o referido documento na Comissão Permanente de Licitação, por parte do Protocolo Geral, verificou-se tratar de uma cópia colorida do documento original</w:t>
      </w:r>
      <w:r w:rsidR="00794A47">
        <w:rPr>
          <w:rFonts w:ascii="Arial Narrow" w:hAnsi="Arial Narrow"/>
        </w:rPr>
        <w:t>. Aguardou-se até a data e horário limite</w:t>
      </w:r>
      <w:r>
        <w:rPr>
          <w:rFonts w:ascii="Arial Narrow" w:hAnsi="Arial Narrow"/>
        </w:rPr>
        <w:t xml:space="preserve"> </w:t>
      </w:r>
      <w:r w:rsidR="00794A47">
        <w:rPr>
          <w:rFonts w:ascii="Arial Narrow" w:hAnsi="Arial Narrow"/>
        </w:rPr>
        <w:t>para a apresentação dos documentos originais, o que não ocorreu. Dessa forma, a empresa não observou os critérios de apresentação da impugnação, não estando conforme o exigido no Edital. Haja vista a previsão de não reconhecimento de impugnações, conforme condição 3.1.1 do Edital, não se discorrerá sobre as razões e fundamentações da pretensa recorrente.</w:t>
      </w:r>
    </w:p>
    <w:p w:rsidR="00AC6A3D" w:rsidRPr="00AC6A3D" w:rsidRDefault="00AC6A3D" w:rsidP="00AC6A3D">
      <w:pPr>
        <w:pStyle w:val="SemEspaamento"/>
        <w:jc w:val="both"/>
        <w:rPr>
          <w:rFonts w:ascii="Arial Narrow" w:hAnsi="Arial Narrow"/>
          <w:b/>
        </w:rPr>
      </w:pPr>
    </w:p>
    <w:p w:rsidR="00AC6A3D" w:rsidRPr="00AC6A3D" w:rsidRDefault="00794A47" w:rsidP="00503D7F">
      <w:pPr>
        <w:pStyle w:val="SemEspaamento"/>
        <w:jc w:val="both"/>
        <w:rPr>
          <w:rFonts w:ascii="Arial Narrow" w:hAnsi="Arial Narrow"/>
          <w:b/>
        </w:rPr>
      </w:pPr>
      <w:r>
        <w:rPr>
          <w:rFonts w:ascii="Arial Narrow" w:hAnsi="Arial Narrow"/>
          <w:b/>
        </w:rPr>
        <w:t>III</w:t>
      </w:r>
      <w:r w:rsidR="00AC6A3D" w:rsidRPr="00AC6A3D">
        <w:rPr>
          <w:rFonts w:ascii="Arial Narrow" w:hAnsi="Arial Narrow"/>
          <w:b/>
        </w:rPr>
        <w:t xml:space="preserve"> –</w:t>
      </w:r>
      <w:r w:rsidR="0041226A">
        <w:rPr>
          <w:rFonts w:ascii="Arial Narrow" w:hAnsi="Arial Narrow"/>
          <w:b/>
        </w:rPr>
        <w:t xml:space="preserve"> DOS CRITÉRIOS DE ADMISSIBILIDADE E</w:t>
      </w:r>
      <w:r w:rsidR="00AC6A3D" w:rsidRPr="00AC6A3D">
        <w:rPr>
          <w:rFonts w:ascii="Arial Narrow" w:hAnsi="Arial Narrow"/>
          <w:b/>
        </w:rPr>
        <w:t xml:space="preserve"> DA DECISÃO</w:t>
      </w:r>
    </w:p>
    <w:p w:rsidR="00503D7F" w:rsidRPr="00AC6A3D" w:rsidRDefault="00503D7F" w:rsidP="00503D7F">
      <w:pPr>
        <w:pStyle w:val="SemEspaamento"/>
        <w:jc w:val="both"/>
        <w:rPr>
          <w:rFonts w:ascii="Arial Narrow" w:hAnsi="Arial Narrow"/>
        </w:rPr>
      </w:pPr>
    </w:p>
    <w:p w:rsidR="005B1FC3" w:rsidRDefault="005B1FC3" w:rsidP="00AC6A3D">
      <w:pPr>
        <w:pStyle w:val="SemEspaamento"/>
        <w:jc w:val="both"/>
        <w:rPr>
          <w:rFonts w:ascii="Arial Narrow" w:hAnsi="Arial Narrow"/>
        </w:rPr>
      </w:pPr>
      <w:r>
        <w:rPr>
          <w:rFonts w:ascii="Arial Narrow" w:hAnsi="Arial Narrow"/>
        </w:rPr>
        <w:t xml:space="preserve">Observados os critérios de Admissibilidade, verificou-se que a empresa </w:t>
      </w:r>
      <w:r w:rsidR="00794A47">
        <w:rPr>
          <w:rFonts w:ascii="Arial Narrow" w:hAnsi="Arial Narrow"/>
        </w:rPr>
        <w:t xml:space="preserve">não </w:t>
      </w:r>
      <w:r>
        <w:rPr>
          <w:rFonts w:ascii="Arial Narrow" w:hAnsi="Arial Narrow"/>
        </w:rPr>
        <w:t>cumpriu os requisitos do Edital quanto à forma e tempestividade. Assim,</w:t>
      </w:r>
      <w:r w:rsidR="00794A47">
        <w:rPr>
          <w:rFonts w:ascii="Arial Narrow" w:hAnsi="Arial Narrow"/>
        </w:rPr>
        <w:t xml:space="preserve"> conforme previsto na condição 3.1.1.</w:t>
      </w:r>
      <w:r w:rsidR="000D1305">
        <w:rPr>
          <w:rFonts w:ascii="Arial Narrow" w:hAnsi="Arial Narrow"/>
        </w:rPr>
        <w:t xml:space="preserve"> </w:t>
      </w:r>
      <w:proofErr w:type="gramStart"/>
      <w:r w:rsidR="00794A47">
        <w:rPr>
          <w:rFonts w:ascii="Arial Narrow" w:hAnsi="Arial Narrow"/>
        </w:rPr>
        <w:t>do</w:t>
      </w:r>
      <w:proofErr w:type="gramEnd"/>
      <w:r w:rsidR="00794A47">
        <w:rPr>
          <w:rFonts w:ascii="Arial Narrow" w:hAnsi="Arial Narrow"/>
        </w:rPr>
        <w:t xml:space="preserve"> Edital, NÃO</w:t>
      </w:r>
      <w:r>
        <w:rPr>
          <w:rFonts w:ascii="Arial Narrow" w:hAnsi="Arial Narrow"/>
        </w:rPr>
        <w:t xml:space="preserve"> CONHEÇO da impugnação apresentada. </w:t>
      </w:r>
    </w:p>
    <w:p w:rsidR="00AC6A3D" w:rsidRDefault="005B1FC3" w:rsidP="00AC6A3D">
      <w:pPr>
        <w:pStyle w:val="SemEspaamento"/>
        <w:jc w:val="both"/>
        <w:rPr>
          <w:rFonts w:ascii="Arial Narrow" w:hAnsi="Arial Narrow"/>
        </w:rPr>
      </w:pPr>
      <w:r>
        <w:rPr>
          <w:rFonts w:ascii="Arial Narrow" w:hAnsi="Arial Narrow"/>
        </w:rPr>
        <w:t>Quanto às razões</w:t>
      </w:r>
      <w:r w:rsidR="00794A47">
        <w:rPr>
          <w:rFonts w:ascii="Arial Narrow" w:hAnsi="Arial Narrow"/>
        </w:rPr>
        <w:t xml:space="preserve"> e fundamentações</w:t>
      </w:r>
      <w:r>
        <w:rPr>
          <w:rFonts w:ascii="Arial Narrow" w:hAnsi="Arial Narrow"/>
        </w:rPr>
        <w:t>, diante d</w:t>
      </w:r>
      <w:r w:rsidR="00AC6A3D" w:rsidRPr="00AC6A3D">
        <w:rPr>
          <w:rFonts w:ascii="Arial Narrow" w:hAnsi="Arial Narrow"/>
        </w:rPr>
        <w:t xml:space="preserve">o </w:t>
      </w:r>
      <w:r w:rsidR="000D1305">
        <w:rPr>
          <w:rFonts w:ascii="Arial Narrow" w:hAnsi="Arial Narrow"/>
        </w:rPr>
        <w:t>não cumprimento das normas do instrumento convocatório</w:t>
      </w:r>
      <w:r w:rsidR="00AC6A3D" w:rsidRPr="00AC6A3D">
        <w:rPr>
          <w:rFonts w:ascii="Arial Narrow" w:hAnsi="Arial Narrow"/>
        </w:rPr>
        <w:t xml:space="preserve">, </w:t>
      </w:r>
      <w:r w:rsidR="000D1305">
        <w:rPr>
          <w:rFonts w:ascii="Arial Narrow" w:hAnsi="Arial Narrow"/>
        </w:rPr>
        <w:t>não serão analisadas ou consideradas</w:t>
      </w:r>
      <w:r w:rsidR="00AC6A3D" w:rsidRPr="00AC6A3D">
        <w:rPr>
          <w:rFonts w:ascii="Arial Narrow" w:hAnsi="Arial Narrow"/>
        </w:rPr>
        <w:t>.</w:t>
      </w:r>
    </w:p>
    <w:p w:rsidR="005B1FC3" w:rsidRDefault="005B1FC3" w:rsidP="00AC6A3D">
      <w:pPr>
        <w:pStyle w:val="SemEspaamento"/>
        <w:jc w:val="both"/>
        <w:rPr>
          <w:rFonts w:ascii="Arial Narrow" w:hAnsi="Arial Narrow"/>
        </w:rPr>
      </w:pPr>
    </w:p>
    <w:p w:rsidR="005B1FC3" w:rsidRDefault="005B1FC3" w:rsidP="00AC6A3D">
      <w:pPr>
        <w:pStyle w:val="SemEspaamento"/>
        <w:jc w:val="both"/>
        <w:rPr>
          <w:rFonts w:ascii="Arial Narrow" w:hAnsi="Arial Narrow"/>
        </w:rPr>
      </w:pPr>
      <w:r>
        <w:rPr>
          <w:rFonts w:ascii="Arial Narrow" w:hAnsi="Arial Narrow"/>
        </w:rPr>
        <w:t>Palmas – TO, aos 15 de abril de 2019.</w:t>
      </w:r>
    </w:p>
    <w:p w:rsidR="005B1FC3" w:rsidRDefault="005B1FC3" w:rsidP="00AC6A3D">
      <w:pPr>
        <w:pStyle w:val="SemEspaamento"/>
        <w:jc w:val="both"/>
        <w:rPr>
          <w:rFonts w:ascii="Arial Narrow" w:hAnsi="Arial Narrow"/>
        </w:rPr>
      </w:pPr>
    </w:p>
    <w:p w:rsidR="005B1FC3" w:rsidRDefault="005B1FC3" w:rsidP="00AC6A3D">
      <w:pPr>
        <w:pStyle w:val="SemEspaamento"/>
        <w:jc w:val="both"/>
        <w:rPr>
          <w:rFonts w:ascii="Arial Narrow" w:hAnsi="Arial Narrow"/>
        </w:rPr>
      </w:pPr>
    </w:p>
    <w:p w:rsidR="005B1FC3" w:rsidRDefault="005B1FC3" w:rsidP="00AC6A3D">
      <w:pPr>
        <w:pStyle w:val="SemEspaamento"/>
        <w:jc w:val="both"/>
        <w:rPr>
          <w:rFonts w:ascii="Arial Narrow" w:hAnsi="Arial Narrow"/>
        </w:rPr>
      </w:pPr>
    </w:p>
    <w:p w:rsidR="005B1FC3" w:rsidRDefault="005B1FC3" w:rsidP="005B1FC3">
      <w:pPr>
        <w:pStyle w:val="SemEspaamento"/>
        <w:jc w:val="center"/>
        <w:rPr>
          <w:rFonts w:ascii="Arial Narrow" w:hAnsi="Arial Narrow"/>
        </w:rPr>
      </w:pPr>
    </w:p>
    <w:p w:rsidR="005B1FC3" w:rsidRDefault="005B1FC3" w:rsidP="005B1FC3">
      <w:pPr>
        <w:pStyle w:val="SemEspaamento"/>
        <w:jc w:val="center"/>
        <w:rPr>
          <w:rFonts w:ascii="Arial Narrow" w:hAnsi="Arial Narrow"/>
        </w:rPr>
      </w:pPr>
      <w:r>
        <w:rPr>
          <w:rFonts w:ascii="Arial Narrow" w:hAnsi="Arial Narrow"/>
        </w:rPr>
        <w:t>JORGE MÁRIO SOARES DE SOUSA</w:t>
      </w:r>
    </w:p>
    <w:p w:rsidR="005B1FC3" w:rsidRPr="00AC6A3D" w:rsidRDefault="005B1FC3" w:rsidP="005B1FC3">
      <w:pPr>
        <w:pStyle w:val="SemEspaamento"/>
        <w:jc w:val="center"/>
        <w:rPr>
          <w:rFonts w:ascii="Arial Narrow" w:hAnsi="Arial Narrow"/>
          <w:b/>
        </w:rPr>
      </w:pPr>
      <w:r>
        <w:rPr>
          <w:rFonts w:ascii="Arial Narrow" w:hAnsi="Arial Narrow"/>
        </w:rPr>
        <w:t>Pregoeiro</w:t>
      </w:r>
    </w:p>
    <w:sectPr w:rsidR="005B1FC3" w:rsidRPr="00AC6A3D" w:rsidSect="00551103">
      <w:pgSz w:w="11906" w:h="16838"/>
      <w:pgMar w:top="567" w:right="707" w:bottom="0"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2C187E"/>
    <w:multiLevelType w:val="multilevel"/>
    <w:tmpl w:val="864CB79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0D53667C"/>
    <w:multiLevelType w:val="multilevel"/>
    <w:tmpl w:val="FE8CE7C6"/>
    <w:lvl w:ilvl="0">
      <w:start w:val="1"/>
      <w:numFmt w:val="decimal"/>
      <w:lvlText w:val="%1."/>
      <w:lvlJc w:val="left"/>
      <w:pPr>
        <w:ind w:left="510" w:hanging="510"/>
      </w:pPr>
      <w:rPr>
        <w:b/>
      </w:rPr>
    </w:lvl>
    <w:lvl w:ilvl="1">
      <w:start w:val="1"/>
      <w:numFmt w:val="decimal"/>
      <w:lvlText w:val="%1.%2."/>
      <w:lvlJc w:val="left"/>
      <w:pPr>
        <w:ind w:left="720" w:hanging="720"/>
      </w:pPr>
      <w:rPr>
        <w:b/>
      </w:rPr>
    </w:lvl>
    <w:lvl w:ilvl="2">
      <w:start w:val="1"/>
      <w:numFmt w:val="decimal"/>
      <w:lvlText w:val="%1.%2.%3."/>
      <w:lvlJc w:val="left"/>
      <w:pPr>
        <w:ind w:left="720" w:hanging="720"/>
      </w:pPr>
      <w:rPr>
        <w:b/>
      </w:rPr>
    </w:lvl>
    <w:lvl w:ilvl="3">
      <w:start w:val="1"/>
      <w:numFmt w:val="decimal"/>
      <w:lvlText w:val="%1.%2.%3.%4."/>
      <w:lvlJc w:val="left"/>
      <w:pPr>
        <w:ind w:left="1080" w:hanging="1080"/>
      </w:pPr>
      <w:rPr>
        <w:b/>
      </w:rPr>
    </w:lvl>
    <w:lvl w:ilvl="4">
      <w:start w:val="1"/>
      <w:numFmt w:val="decimal"/>
      <w:lvlText w:val="%1.%2.%3.%4.%5."/>
      <w:lvlJc w:val="left"/>
      <w:pPr>
        <w:ind w:left="1080" w:hanging="1080"/>
      </w:pPr>
      <w:rPr>
        <w:b/>
      </w:rPr>
    </w:lvl>
    <w:lvl w:ilvl="5">
      <w:start w:val="1"/>
      <w:numFmt w:val="decimal"/>
      <w:lvlText w:val="%1.%2.%3.%4.%5.%6."/>
      <w:lvlJc w:val="left"/>
      <w:pPr>
        <w:ind w:left="1440" w:hanging="1440"/>
      </w:pPr>
      <w:rPr>
        <w:b/>
      </w:rPr>
    </w:lvl>
    <w:lvl w:ilvl="6">
      <w:start w:val="1"/>
      <w:numFmt w:val="decimal"/>
      <w:lvlText w:val="%1.%2.%3.%4.%5.%6.%7."/>
      <w:lvlJc w:val="left"/>
      <w:pPr>
        <w:ind w:left="1440" w:hanging="1440"/>
      </w:pPr>
      <w:rPr>
        <w:b/>
      </w:rPr>
    </w:lvl>
    <w:lvl w:ilvl="7">
      <w:start w:val="1"/>
      <w:numFmt w:val="decimal"/>
      <w:lvlText w:val="%1.%2.%3.%4.%5.%6.%7.%8."/>
      <w:lvlJc w:val="left"/>
      <w:pPr>
        <w:ind w:left="1800" w:hanging="1800"/>
      </w:pPr>
      <w:rPr>
        <w:b/>
      </w:rPr>
    </w:lvl>
    <w:lvl w:ilvl="8">
      <w:start w:val="1"/>
      <w:numFmt w:val="decimal"/>
      <w:lvlText w:val="%1.%2.%3.%4.%5.%6.%7.%8.%9."/>
      <w:lvlJc w:val="left"/>
      <w:pPr>
        <w:ind w:left="1800" w:hanging="1800"/>
      </w:pPr>
      <w:rPr>
        <w:b/>
      </w:rPr>
    </w:lvl>
  </w:abstractNum>
  <w:abstractNum w:abstractNumId="2">
    <w:nsid w:val="134D1777"/>
    <w:multiLevelType w:val="multilevel"/>
    <w:tmpl w:val="AFBC40AE"/>
    <w:lvl w:ilvl="0">
      <w:start w:val="1"/>
      <w:numFmt w:val="decimal"/>
      <w:lvlText w:val="%1."/>
      <w:lvlJc w:val="left"/>
      <w:pPr>
        <w:ind w:left="360" w:hanging="360"/>
      </w:pPr>
      <w:rPr>
        <w:rFonts w:eastAsia="Times New Roman" w:hint="default"/>
        <w:b/>
      </w:rPr>
    </w:lvl>
    <w:lvl w:ilvl="1">
      <w:start w:val="1"/>
      <w:numFmt w:val="decimal"/>
      <w:lvlText w:val="%1.%2."/>
      <w:lvlJc w:val="left"/>
      <w:pPr>
        <w:ind w:left="360" w:hanging="360"/>
      </w:pPr>
      <w:rPr>
        <w:rFonts w:eastAsia="Times New Roman" w:hint="default"/>
        <w:b/>
      </w:rPr>
    </w:lvl>
    <w:lvl w:ilvl="2">
      <w:start w:val="1"/>
      <w:numFmt w:val="decimal"/>
      <w:lvlText w:val="%1.%2.%3."/>
      <w:lvlJc w:val="left"/>
      <w:pPr>
        <w:ind w:left="720" w:hanging="720"/>
      </w:pPr>
      <w:rPr>
        <w:rFonts w:eastAsia="Times New Roman" w:hint="default"/>
        <w:b/>
      </w:rPr>
    </w:lvl>
    <w:lvl w:ilvl="3">
      <w:start w:val="1"/>
      <w:numFmt w:val="decimal"/>
      <w:lvlText w:val="%1.%2.%3.%4."/>
      <w:lvlJc w:val="left"/>
      <w:pPr>
        <w:ind w:left="720" w:hanging="720"/>
      </w:pPr>
      <w:rPr>
        <w:rFonts w:eastAsia="Times New Roman" w:hint="default"/>
        <w:b/>
      </w:rPr>
    </w:lvl>
    <w:lvl w:ilvl="4">
      <w:start w:val="1"/>
      <w:numFmt w:val="decimal"/>
      <w:lvlText w:val="%1.%2.%3.%4.%5."/>
      <w:lvlJc w:val="left"/>
      <w:pPr>
        <w:ind w:left="1080" w:hanging="1080"/>
      </w:pPr>
      <w:rPr>
        <w:rFonts w:eastAsia="Times New Roman" w:hint="default"/>
        <w:b/>
      </w:rPr>
    </w:lvl>
    <w:lvl w:ilvl="5">
      <w:start w:val="1"/>
      <w:numFmt w:val="decimal"/>
      <w:lvlText w:val="%1.%2.%3.%4.%5.%6."/>
      <w:lvlJc w:val="left"/>
      <w:pPr>
        <w:ind w:left="1080" w:hanging="1080"/>
      </w:pPr>
      <w:rPr>
        <w:rFonts w:eastAsia="Times New Roman" w:hint="default"/>
        <w:b/>
      </w:rPr>
    </w:lvl>
    <w:lvl w:ilvl="6">
      <w:start w:val="1"/>
      <w:numFmt w:val="decimal"/>
      <w:lvlText w:val="%1.%2.%3.%4.%5.%6.%7."/>
      <w:lvlJc w:val="left"/>
      <w:pPr>
        <w:ind w:left="1080" w:hanging="1080"/>
      </w:pPr>
      <w:rPr>
        <w:rFonts w:eastAsia="Times New Roman" w:hint="default"/>
        <w:b/>
      </w:rPr>
    </w:lvl>
    <w:lvl w:ilvl="7">
      <w:start w:val="1"/>
      <w:numFmt w:val="decimal"/>
      <w:lvlText w:val="%1.%2.%3.%4.%5.%6.%7.%8."/>
      <w:lvlJc w:val="left"/>
      <w:pPr>
        <w:ind w:left="1440" w:hanging="1440"/>
      </w:pPr>
      <w:rPr>
        <w:rFonts w:eastAsia="Times New Roman" w:hint="default"/>
        <w:b/>
      </w:rPr>
    </w:lvl>
    <w:lvl w:ilvl="8">
      <w:start w:val="1"/>
      <w:numFmt w:val="decimal"/>
      <w:lvlText w:val="%1.%2.%3.%4.%5.%6.%7.%8.%9."/>
      <w:lvlJc w:val="left"/>
      <w:pPr>
        <w:ind w:left="1440" w:hanging="1440"/>
      </w:pPr>
      <w:rPr>
        <w:rFonts w:eastAsia="Times New Roman" w:hint="default"/>
        <w:b/>
      </w:rPr>
    </w:lvl>
  </w:abstractNum>
  <w:abstractNum w:abstractNumId="3">
    <w:nsid w:val="373B0723"/>
    <w:multiLevelType w:val="singleLevel"/>
    <w:tmpl w:val="04160001"/>
    <w:lvl w:ilvl="0">
      <w:start w:val="1"/>
      <w:numFmt w:val="bullet"/>
      <w:lvlText w:val=""/>
      <w:lvlJc w:val="left"/>
      <w:pPr>
        <w:tabs>
          <w:tab w:val="num" w:pos="360"/>
        </w:tabs>
        <w:ind w:left="360" w:hanging="360"/>
      </w:pPr>
      <w:rPr>
        <w:rFonts w:ascii="Symbol" w:hAnsi="Symbol" w:hint="default"/>
      </w:r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3018"/>
    <w:rsid w:val="00001507"/>
    <w:rsid w:val="000070A1"/>
    <w:rsid w:val="0001257C"/>
    <w:rsid w:val="0001743A"/>
    <w:rsid w:val="00023A79"/>
    <w:rsid w:val="0002765C"/>
    <w:rsid w:val="00032307"/>
    <w:rsid w:val="00032F64"/>
    <w:rsid w:val="00035514"/>
    <w:rsid w:val="00040758"/>
    <w:rsid w:val="00041CF6"/>
    <w:rsid w:val="00042A5D"/>
    <w:rsid w:val="000447C6"/>
    <w:rsid w:val="000447F8"/>
    <w:rsid w:val="00050D14"/>
    <w:rsid w:val="00063774"/>
    <w:rsid w:val="00065E75"/>
    <w:rsid w:val="000772F3"/>
    <w:rsid w:val="000878DD"/>
    <w:rsid w:val="00094B95"/>
    <w:rsid w:val="000A65E2"/>
    <w:rsid w:val="000B20DE"/>
    <w:rsid w:val="000B2CD7"/>
    <w:rsid w:val="000C5519"/>
    <w:rsid w:val="000C60F1"/>
    <w:rsid w:val="000D1305"/>
    <w:rsid w:val="000D74B1"/>
    <w:rsid w:val="000E7667"/>
    <w:rsid w:val="000E76CD"/>
    <w:rsid w:val="000F531E"/>
    <w:rsid w:val="00117B96"/>
    <w:rsid w:val="0012141A"/>
    <w:rsid w:val="001336F5"/>
    <w:rsid w:val="00150DD7"/>
    <w:rsid w:val="001606B3"/>
    <w:rsid w:val="001625D8"/>
    <w:rsid w:val="001752A1"/>
    <w:rsid w:val="00177576"/>
    <w:rsid w:val="0018074F"/>
    <w:rsid w:val="00181311"/>
    <w:rsid w:val="001822BD"/>
    <w:rsid w:val="00187086"/>
    <w:rsid w:val="00187E58"/>
    <w:rsid w:val="001B1E84"/>
    <w:rsid w:val="001D1093"/>
    <w:rsid w:val="001D2EA1"/>
    <w:rsid w:val="001E640B"/>
    <w:rsid w:val="001F1671"/>
    <w:rsid w:val="001F4518"/>
    <w:rsid w:val="001F55A3"/>
    <w:rsid w:val="00200252"/>
    <w:rsid w:val="002008D6"/>
    <w:rsid w:val="00204952"/>
    <w:rsid w:val="00205267"/>
    <w:rsid w:val="002154E1"/>
    <w:rsid w:val="00237BF5"/>
    <w:rsid w:val="00241A2D"/>
    <w:rsid w:val="00242A93"/>
    <w:rsid w:val="00245126"/>
    <w:rsid w:val="00273170"/>
    <w:rsid w:val="00275B5E"/>
    <w:rsid w:val="00276D4A"/>
    <w:rsid w:val="002776FE"/>
    <w:rsid w:val="00277BED"/>
    <w:rsid w:val="00296266"/>
    <w:rsid w:val="002C166E"/>
    <w:rsid w:val="002D2BEA"/>
    <w:rsid w:val="002E068D"/>
    <w:rsid w:val="002E0C7F"/>
    <w:rsid w:val="002F2E36"/>
    <w:rsid w:val="003132B7"/>
    <w:rsid w:val="0031429F"/>
    <w:rsid w:val="003356F6"/>
    <w:rsid w:val="00340064"/>
    <w:rsid w:val="003415EA"/>
    <w:rsid w:val="003473F9"/>
    <w:rsid w:val="003649DA"/>
    <w:rsid w:val="0039515D"/>
    <w:rsid w:val="003A0C3F"/>
    <w:rsid w:val="003B4A20"/>
    <w:rsid w:val="003B5CE3"/>
    <w:rsid w:val="003C40AE"/>
    <w:rsid w:val="003D6875"/>
    <w:rsid w:val="003E3847"/>
    <w:rsid w:val="003E6469"/>
    <w:rsid w:val="0041226A"/>
    <w:rsid w:val="00414031"/>
    <w:rsid w:val="004508BD"/>
    <w:rsid w:val="0045337A"/>
    <w:rsid w:val="004862EA"/>
    <w:rsid w:val="004904A1"/>
    <w:rsid w:val="00491C80"/>
    <w:rsid w:val="004A6B79"/>
    <w:rsid w:val="004C24D8"/>
    <w:rsid w:val="004C5D5D"/>
    <w:rsid w:val="004F7BB2"/>
    <w:rsid w:val="005010BF"/>
    <w:rsid w:val="00503D7F"/>
    <w:rsid w:val="0050771F"/>
    <w:rsid w:val="00524E95"/>
    <w:rsid w:val="005373CE"/>
    <w:rsid w:val="0054337C"/>
    <w:rsid w:val="005510F3"/>
    <w:rsid w:val="00551103"/>
    <w:rsid w:val="00551746"/>
    <w:rsid w:val="0056106C"/>
    <w:rsid w:val="005741A5"/>
    <w:rsid w:val="005761FC"/>
    <w:rsid w:val="00577E7F"/>
    <w:rsid w:val="005A4A60"/>
    <w:rsid w:val="005B1FC3"/>
    <w:rsid w:val="005E3BA5"/>
    <w:rsid w:val="005F6DC3"/>
    <w:rsid w:val="00603E07"/>
    <w:rsid w:val="00606BE1"/>
    <w:rsid w:val="0061062A"/>
    <w:rsid w:val="00623A40"/>
    <w:rsid w:val="006448DC"/>
    <w:rsid w:val="00644B9A"/>
    <w:rsid w:val="00660D8C"/>
    <w:rsid w:val="006619DF"/>
    <w:rsid w:val="00675EA5"/>
    <w:rsid w:val="006931EE"/>
    <w:rsid w:val="006A07EB"/>
    <w:rsid w:val="006B49FF"/>
    <w:rsid w:val="006C0AA3"/>
    <w:rsid w:val="006E581D"/>
    <w:rsid w:val="006F4CD4"/>
    <w:rsid w:val="00727CFD"/>
    <w:rsid w:val="0073020B"/>
    <w:rsid w:val="00740AC4"/>
    <w:rsid w:val="00741261"/>
    <w:rsid w:val="00750A6D"/>
    <w:rsid w:val="0075795E"/>
    <w:rsid w:val="00763F20"/>
    <w:rsid w:val="0077081B"/>
    <w:rsid w:val="00771323"/>
    <w:rsid w:val="00775DF8"/>
    <w:rsid w:val="00783018"/>
    <w:rsid w:val="00783E88"/>
    <w:rsid w:val="00786C57"/>
    <w:rsid w:val="00791038"/>
    <w:rsid w:val="00794A47"/>
    <w:rsid w:val="007A61E8"/>
    <w:rsid w:val="007E6C47"/>
    <w:rsid w:val="007F2504"/>
    <w:rsid w:val="007F2C9C"/>
    <w:rsid w:val="00800774"/>
    <w:rsid w:val="00801A61"/>
    <w:rsid w:val="00812724"/>
    <w:rsid w:val="00814552"/>
    <w:rsid w:val="00821709"/>
    <w:rsid w:val="0083149A"/>
    <w:rsid w:val="00851FE4"/>
    <w:rsid w:val="00862BA2"/>
    <w:rsid w:val="00865086"/>
    <w:rsid w:val="00870557"/>
    <w:rsid w:val="0087078A"/>
    <w:rsid w:val="00877A41"/>
    <w:rsid w:val="008821B4"/>
    <w:rsid w:val="0088276D"/>
    <w:rsid w:val="00883D23"/>
    <w:rsid w:val="008A019A"/>
    <w:rsid w:val="008A6329"/>
    <w:rsid w:val="008A7047"/>
    <w:rsid w:val="008B0EEB"/>
    <w:rsid w:val="008B7956"/>
    <w:rsid w:val="008C233E"/>
    <w:rsid w:val="008D776F"/>
    <w:rsid w:val="00900EE7"/>
    <w:rsid w:val="00941FCE"/>
    <w:rsid w:val="00943D57"/>
    <w:rsid w:val="00950216"/>
    <w:rsid w:val="00953DCD"/>
    <w:rsid w:val="00956F96"/>
    <w:rsid w:val="00957D02"/>
    <w:rsid w:val="00994D9F"/>
    <w:rsid w:val="009A3918"/>
    <w:rsid w:val="009B5EFD"/>
    <w:rsid w:val="009C2AD5"/>
    <w:rsid w:val="009C3BE0"/>
    <w:rsid w:val="009D2C0C"/>
    <w:rsid w:val="009E50FB"/>
    <w:rsid w:val="009E7867"/>
    <w:rsid w:val="009F15CB"/>
    <w:rsid w:val="00A051DE"/>
    <w:rsid w:val="00A14DC0"/>
    <w:rsid w:val="00A173E2"/>
    <w:rsid w:val="00A217A5"/>
    <w:rsid w:val="00A27CD5"/>
    <w:rsid w:val="00A35C43"/>
    <w:rsid w:val="00A5473F"/>
    <w:rsid w:val="00A54CE1"/>
    <w:rsid w:val="00A560CE"/>
    <w:rsid w:val="00A60F33"/>
    <w:rsid w:val="00A62381"/>
    <w:rsid w:val="00A63189"/>
    <w:rsid w:val="00A6420D"/>
    <w:rsid w:val="00A708CB"/>
    <w:rsid w:val="00A85367"/>
    <w:rsid w:val="00AA11B8"/>
    <w:rsid w:val="00AA1473"/>
    <w:rsid w:val="00AA1F00"/>
    <w:rsid w:val="00AB1B32"/>
    <w:rsid w:val="00AC5421"/>
    <w:rsid w:val="00AC6A3D"/>
    <w:rsid w:val="00AD72C0"/>
    <w:rsid w:val="00AD7F8B"/>
    <w:rsid w:val="00AE3140"/>
    <w:rsid w:val="00B21AC3"/>
    <w:rsid w:val="00B22F2E"/>
    <w:rsid w:val="00B362C3"/>
    <w:rsid w:val="00B424D5"/>
    <w:rsid w:val="00B468E1"/>
    <w:rsid w:val="00B5542B"/>
    <w:rsid w:val="00B61490"/>
    <w:rsid w:val="00B72036"/>
    <w:rsid w:val="00B82C5F"/>
    <w:rsid w:val="00BC0647"/>
    <w:rsid w:val="00BC57AC"/>
    <w:rsid w:val="00BE4E6F"/>
    <w:rsid w:val="00BE6ABC"/>
    <w:rsid w:val="00BF0CB4"/>
    <w:rsid w:val="00C01C71"/>
    <w:rsid w:val="00C26E90"/>
    <w:rsid w:val="00C33114"/>
    <w:rsid w:val="00C42268"/>
    <w:rsid w:val="00C43979"/>
    <w:rsid w:val="00C514F3"/>
    <w:rsid w:val="00C528FB"/>
    <w:rsid w:val="00C73E33"/>
    <w:rsid w:val="00C741B5"/>
    <w:rsid w:val="00C832C1"/>
    <w:rsid w:val="00CC5922"/>
    <w:rsid w:val="00CD3DD0"/>
    <w:rsid w:val="00CE1149"/>
    <w:rsid w:val="00CF458E"/>
    <w:rsid w:val="00D007AD"/>
    <w:rsid w:val="00D209D6"/>
    <w:rsid w:val="00D26871"/>
    <w:rsid w:val="00D31E7F"/>
    <w:rsid w:val="00D33C8D"/>
    <w:rsid w:val="00D548A8"/>
    <w:rsid w:val="00D675D7"/>
    <w:rsid w:val="00D73F5C"/>
    <w:rsid w:val="00D74371"/>
    <w:rsid w:val="00D75092"/>
    <w:rsid w:val="00D77E72"/>
    <w:rsid w:val="00D81C5E"/>
    <w:rsid w:val="00DA3859"/>
    <w:rsid w:val="00DA5AA6"/>
    <w:rsid w:val="00DC1228"/>
    <w:rsid w:val="00DC1790"/>
    <w:rsid w:val="00DC2A40"/>
    <w:rsid w:val="00DD1A6E"/>
    <w:rsid w:val="00DD3218"/>
    <w:rsid w:val="00E04659"/>
    <w:rsid w:val="00E07888"/>
    <w:rsid w:val="00E13016"/>
    <w:rsid w:val="00E20D05"/>
    <w:rsid w:val="00E24D06"/>
    <w:rsid w:val="00E279B6"/>
    <w:rsid w:val="00E70D00"/>
    <w:rsid w:val="00E922FA"/>
    <w:rsid w:val="00E931DD"/>
    <w:rsid w:val="00EB1162"/>
    <w:rsid w:val="00ED56B8"/>
    <w:rsid w:val="00EE2964"/>
    <w:rsid w:val="00EE70B1"/>
    <w:rsid w:val="00EE7613"/>
    <w:rsid w:val="00EF07CC"/>
    <w:rsid w:val="00EF68FA"/>
    <w:rsid w:val="00F06550"/>
    <w:rsid w:val="00F14BE1"/>
    <w:rsid w:val="00F21984"/>
    <w:rsid w:val="00F26404"/>
    <w:rsid w:val="00F4272B"/>
    <w:rsid w:val="00F43767"/>
    <w:rsid w:val="00F47FFA"/>
    <w:rsid w:val="00F809E5"/>
    <w:rsid w:val="00F900B2"/>
    <w:rsid w:val="00FB0C88"/>
    <w:rsid w:val="00FB216B"/>
    <w:rsid w:val="00FB4351"/>
    <w:rsid w:val="00FD0454"/>
    <w:rsid w:val="00FE192F"/>
    <w:rsid w:val="00FE1DCA"/>
    <w:rsid w:val="00FE6784"/>
    <w:rsid w:val="00FF4EF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42BE43C-E1E3-40A1-88FE-029ED20514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783018"/>
    <w:pPr>
      <w:keepNext/>
      <w:tabs>
        <w:tab w:val="center" w:pos="4252"/>
        <w:tab w:val="right" w:pos="8504"/>
      </w:tabs>
      <w:spacing w:after="0" w:line="240" w:lineRule="auto"/>
      <w:contextualSpacing/>
      <w:jc w:val="both"/>
    </w:pPr>
    <w:rPr>
      <w:rFonts w:ascii="Arial" w:eastAsia="Times New Roman" w:hAnsi="Arial" w:cs="Verdana"/>
      <w:szCs w:val="20"/>
    </w:rPr>
  </w:style>
  <w:style w:type="character" w:customStyle="1" w:styleId="CabealhoChar">
    <w:name w:val="Cabeçalho Char"/>
    <w:basedOn w:val="Fontepargpadro"/>
    <w:link w:val="Cabealho"/>
    <w:rsid w:val="00783018"/>
    <w:rPr>
      <w:rFonts w:ascii="Arial" w:eastAsia="Times New Roman" w:hAnsi="Arial" w:cs="Verdana"/>
      <w:szCs w:val="20"/>
      <w:lang w:eastAsia="pt-BR"/>
    </w:rPr>
  </w:style>
  <w:style w:type="table" w:styleId="Tabelacomgrade">
    <w:name w:val="Table Grid"/>
    <w:basedOn w:val="Tabelanormal"/>
    <w:uiPriority w:val="59"/>
    <w:rsid w:val="0078301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Corpodetexto">
    <w:name w:val="Body Text"/>
    <w:basedOn w:val="Normal"/>
    <w:link w:val="CorpodetextoChar"/>
    <w:unhideWhenUsed/>
    <w:rsid w:val="00276D4A"/>
    <w:pPr>
      <w:keepNext/>
      <w:spacing w:after="120" w:line="240" w:lineRule="auto"/>
      <w:contextualSpacing/>
      <w:jc w:val="both"/>
    </w:pPr>
    <w:rPr>
      <w:rFonts w:ascii="Arial" w:eastAsia="Times New Roman" w:hAnsi="Arial" w:cs="Verdana"/>
      <w:szCs w:val="20"/>
    </w:rPr>
  </w:style>
  <w:style w:type="character" w:customStyle="1" w:styleId="CorpodetextoChar">
    <w:name w:val="Corpo de texto Char"/>
    <w:basedOn w:val="Fontepargpadro"/>
    <w:link w:val="Corpodetexto"/>
    <w:rsid w:val="00276D4A"/>
    <w:rPr>
      <w:rFonts w:ascii="Arial" w:eastAsia="Times New Roman" w:hAnsi="Arial" w:cs="Verdana"/>
      <w:szCs w:val="20"/>
      <w:lang w:eastAsia="pt-BR"/>
    </w:rPr>
  </w:style>
  <w:style w:type="paragraph" w:styleId="Textodebalo">
    <w:name w:val="Balloon Text"/>
    <w:basedOn w:val="Normal"/>
    <w:link w:val="TextodebaloChar"/>
    <w:uiPriority w:val="99"/>
    <w:semiHidden/>
    <w:unhideWhenUsed/>
    <w:rsid w:val="00C514F3"/>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C514F3"/>
    <w:rPr>
      <w:rFonts w:ascii="Tahoma" w:hAnsi="Tahoma" w:cs="Tahoma"/>
      <w:sz w:val="16"/>
      <w:szCs w:val="16"/>
    </w:rPr>
  </w:style>
  <w:style w:type="paragraph" w:styleId="PargrafodaLista">
    <w:name w:val="List Paragraph"/>
    <w:aliases w:val="Texto,Lista Itens,List Paragraph"/>
    <w:basedOn w:val="Normal"/>
    <w:link w:val="PargrafodaListaChar"/>
    <w:uiPriority w:val="34"/>
    <w:qFormat/>
    <w:rsid w:val="009E50FB"/>
    <w:pPr>
      <w:spacing w:after="0" w:line="240" w:lineRule="auto"/>
      <w:ind w:left="708"/>
    </w:pPr>
    <w:rPr>
      <w:rFonts w:ascii="Times New Roman" w:eastAsia="Times New Roman" w:hAnsi="Times New Roman" w:cs="Times New Roman"/>
      <w:sz w:val="24"/>
      <w:szCs w:val="24"/>
    </w:rPr>
  </w:style>
  <w:style w:type="paragraph" w:customStyle="1" w:styleId="Default">
    <w:name w:val="Default"/>
    <w:rsid w:val="00EF68FA"/>
    <w:pPr>
      <w:autoSpaceDE w:val="0"/>
      <w:autoSpaceDN w:val="0"/>
      <w:adjustRightInd w:val="0"/>
      <w:spacing w:after="0" w:line="240" w:lineRule="auto"/>
    </w:pPr>
    <w:rPr>
      <w:rFonts w:ascii="Arial" w:eastAsia="Times New Roman" w:hAnsi="Arial" w:cs="Arial"/>
      <w:color w:val="000000"/>
      <w:sz w:val="24"/>
      <w:szCs w:val="24"/>
    </w:rPr>
  </w:style>
  <w:style w:type="character" w:customStyle="1" w:styleId="Nenhum">
    <w:name w:val="Nenhum"/>
    <w:rsid w:val="00994D9F"/>
  </w:style>
  <w:style w:type="character" w:customStyle="1" w:styleId="PargrafodaListaChar">
    <w:name w:val="Parágrafo da Lista Char"/>
    <w:aliases w:val="Texto Char,Lista Itens Char,List Paragraph Char"/>
    <w:link w:val="PargrafodaLista"/>
    <w:uiPriority w:val="34"/>
    <w:rsid w:val="00150DD7"/>
    <w:rPr>
      <w:rFonts w:ascii="Times New Roman" w:eastAsia="Times New Roman" w:hAnsi="Times New Roman" w:cs="Times New Roman"/>
      <w:sz w:val="24"/>
      <w:szCs w:val="24"/>
    </w:rPr>
  </w:style>
  <w:style w:type="paragraph" w:styleId="Pr-formataoHTML">
    <w:name w:val="HTML Preformatted"/>
    <w:basedOn w:val="Normal"/>
    <w:link w:val="Pr-formataoHTMLChar"/>
    <w:uiPriority w:val="99"/>
    <w:semiHidden/>
    <w:unhideWhenUsed/>
    <w:rsid w:val="00035514"/>
    <w:pPr>
      <w:spacing w:after="0" w:line="240" w:lineRule="auto"/>
    </w:pPr>
    <w:rPr>
      <w:rFonts w:ascii="Consolas" w:hAnsi="Consolas" w:cs="Consolas"/>
      <w:sz w:val="20"/>
      <w:szCs w:val="20"/>
    </w:rPr>
  </w:style>
  <w:style w:type="character" w:customStyle="1" w:styleId="Pr-formataoHTMLChar">
    <w:name w:val="Pré-formatação HTML Char"/>
    <w:basedOn w:val="Fontepargpadro"/>
    <w:link w:val="Pr-formataoHTML"/>
    <w:uiPriority w:val="99"/>
    <w:semiHidden/>
    <w:rsid w:val="00035514"/>
    <w:rPr>
      <w:rFonts w:ascii="Consolas" w:hAnsi="Consolas" w:cs="Consolas"/>
      <w:sz w:val="20"/>
      <w:szCs w:val="20"/>
    </w:rPr>
  </w:style>
  <w:style w:type="paragraph" w:customStyle="1" w:styleId="Corpo">
    <w:name w:val="Corpo"/>
    <w:rsid w:val="00A27CD5"/>
    <w:pPr>
      <w:widowControl w:val="0"/>
      <w:spacing w:after="0" w:line="240" w:lineRule="auto"/>
      <w:jc w:val="both"/>
    </w:pPr>
    <w:rPr>
      <w:rFonts w:ascii="Arial" w:eastAsia="Times New Roman" w:hAnsi="Arial" w:cs="Times New Roman"/>
      <w:color w:val="000000"/>
      <w:sz w:val="24"/>
      <w:szCs w:val="20"/>
    </w:rPr>
  </w:style>
  <w:style w:type="paragraph" w:styleId="SemEspaamento">
    <w:name w:val="No Spacing"/>
    <w:uiPriority w:val="1"/>
    <w:qFormat/>
    <w:rsid w:val="00503D7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9848971">
      <w:bodyDiv w:val="1"/>
      <w:marLeft w:val="0"/>
      <w:marRight w:val="0"/>
      <w:marTop w:val="0"/>
      <w:marBottom w:val="0"/>
      <w:divBdr>
        <w:top w:val="none" w:sz="0" w:space="0" w:color="auto"/>
        <w:left w:val="none" w:sz="0" w:space="0" w:color="auto"/>
        <w:bottom w:val="none" w:sz="0" w:space="0" w:color="auto"/>
        <w:right w:val="none" w:sz="0" w:space="0" w:color="auto"/>
      </w:divBdr>
    </w:div>
    <w:div w:id="1893274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1</Pages>
  <Words>422</Words>
  <Characters>2283</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56061404115</dc:creator>
  <cp:lastModifiedBy>Jorge Mario Soares De Sousa</cp:lastModifiedBy>
  <cp:revision>3</cp:revision>
  <cp:lastPrinted>2019-04-15T18:53:00Z</cp:lastPrinted>
  <dcterms:created xsi:type="dcterms:W3CDTF">2019-04-15T17:10:00Z</dcterms:created>
  <dcterms:modified xsi:type="dcterms:W3CDTF">2019-04-15T18:53:00Z</dcterms:modified>
</cp:coreProperties>
</file>